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01.png" ContentType="image/png"/>
  <Override PartName="/word/media/rId102.png" ContentType="image/png"/>
  <Override PartName="/word/media/rId100.png" ContentType="image/png"/>
  <Override PartName="/word/media/rId38.png" ContentType="image/png"/>
  <Override PartName="/word/media/rId44.png" ContentType="image/png"/>
  <Override PartName="/word/media/rId113.png" ContentType="image/png"/>
  <Override PartName="/word/media/rId53.jpg" ContentType="image/jpeg"/>
  <Override PartName="/word/media/rId41.png" ContentType="image/png"/>
  <Override PartName="/word/media/rId69.png" ContentType="image/png"/>
  <Override PartName="/word/media/rId56.png" ContentType="image/png"/>
  <Override PartName="/word/media/rId83.png" ContentType="image/png"/>
  <Override PartName="/word/media/rId82.png" ContentType="image/png"/>
  <Override PartName="/word/media/rId104.png" ContentType="image/png"/>
  <Override PartName="/word/media/rId97.png" ContentType="image/png"/>
  <Override PartName="/word/media/rId110.png" ContentType="image/png"/>
  <Override PartName="/word/media/rId116.png" ContentType="image/png"/>
  <Override PartName="/word/media/rId46.png" ContentType="image/png"/>
  <Override PartName="/word/media/rId48.png" ContentType="image/png"/>
  <Override PartName="/word/media/rId114.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1.png" ContentType="image/pn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rstParagraph"/>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09" w:name="the-modal-model-of-memory"/>
      <w:bookmarkEnd w:id="109"/>
      <w:r>
        <w:t xml:space="preserve">The Modal Model of Memory</w:t>
      </w:r>
    </w:p>
    <w:p>
      <w:pPr>
        <w:pStyle w:val="FigureWithCaption"/>
      </w:pPr>
      <w:r>
        <w:drawing>
          <wp:inline>
            <wp:extent cx="5308429" cy="1865621"/>
            <wp:effectExtent b="0" l="0" r="0" t="0"/>
            <wp:docPr descr="Fig 6-1: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0"/>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6-1: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6-1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presereve these auditory signals over time, resulting in its longer persistence.</w:t>
      </w:r>
    </w:p>
    <w:p>
      <w:pPr>
        <w:pStyle w:val="FigureWithCaption"/>
      </w:pPr>
      <w:r>
        <w:drawing>
          <wp:inline>
            <wp:extent cx="1595597" cy="1589460"/>
            <wp:effectExtent b="0" l="0" r="0" t="0"/>
            <wp:docPr descr="Fig 6-2: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1"/>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6-2: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6-2),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persit for longer periods of time, because more neurons across multiple of these higher-level areas can participate in representing this information, resulting in a more redundant and robust collection of such neurons. STM corresponds to the fully recurrent activated state that is likely to be the subject of conscious awareness, as discussed in the Consciousness chapter, and indeed one of the definining characteristics of STM is that you are consciously aware of it.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the modal model only includes memory mechanisms based on neural activity up to this point. The synapses in the sensory pathways have been very well-trained by the time anyone is participating in Sperling-style experiments, and thus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depends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and hard-disk really apply in the brain?</w:t>
      </w:r>
    </w:p>
    <w:p>
      <w:pPr>
        <w:pStyle w:val="Heading2"/>
      </w:pPr>
      <w:bookmarkStart w:id="112" w:name="the-hippocampus"/>
      <w:bookmarkEnd w:id="112"/>
      <w:r>
        <w:t xml:space="preserve">The Hippocampus</w:t>
      </w:r>
    </w:p>
    <w:p>
      <w:pPr>
        <w:pStyle w:val="FigureWithCaption"/>
      </w:pPr>
      <w:r>
        <w:drawing>
          <wp:inline>
            <wp:extent cx="5943600" cy="3066482"/>
            <wp:effectExtent b="0" l="0" r="0" t="0"/>
            <wp:docPr descr="Fig 6-3: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3"/>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6-3: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depends on the hippocampus. As noted in the Neuroscience chapter, the hippocampus sits "on top" of the neocortical hierarchy of areas, and can quickly take a "snapshot" of the current pattern of activity across the upper layers of the cortex (Figure 6-3).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(i.e.,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"what did you have for dinner last night?") to re-activate these same neurons, and when these neurons fire, they act to</w:t>
      </w:r>
      <w:r>
        <w:t xml:space="preserve"> </w:t>
      </w:r>
      <w:r>
        <w:rPr>
          <w:i/>
        </w:rPr>
        <w:t xml:space="preserve">recreate</w:t>
      </w:r>
      <w:r>
        <w:t xml:space="preserve"> </w:t>
      </w:r>
      <w:r>
        <w:t xml:space="preserve">the memory out in the neocortex (i.e., the</w:t>
      </w:r>
      <w:r>
        <w:t xml:space="preserve"> </w:t>
      </w:r>
      <w:r>
        <w:rPr>
          <w:i/>
        </w:rPr>
        <w:t xml:space="preserve">retrieval</w:t>
      </w:r>
      <w:r>
        <w:t xml:space="preserve"> </w:t>
      </w:r>
      <w:r>
        <w:t xml:space="preserve">arrow between LTM and STM in the modal model, Figure 6-1).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4: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4"/>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6-4: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6-4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an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5" w:name="taxonomy-of-long-term-memory"/>
      <w:bookmarkEnd w:id="115"/>
      <w:r>
        <w:t xml:space="preserve">Taxonomy of Long-Term Memory</w:t>
      </w:r>
    </w:p>
    <w:p>
      <w:pPr>
        <w:pStyle w:val="FigureWithCaption"/>
      </w:pPr>
      <w:r>
        <w:drawing>
          <wp:inline>
            <wp:extent cx="4846320" cy="4187952"/>
            <wp:effectExtent b="0" l="0" r="0" t="0"/>
            <wp:docPr descr="Fig 6-5: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6"/>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6-5: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6-5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in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(although this exclusion was intentional on the part of Tulving). It also unnecessarily complicates any kind of straightforward understanding of memory in terms of underlying neural mechanisms.</w:t>
      </w:r>
    </w:p>
    <w:p>
      <w:pPr>
        <w:pStyle w:val="BodyText"/>
      </w:pPr>
      <w:r>
        <w:t xml:space="preserve">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Heading3"/>
      </w:pPr>
      <w:bookmarkStart w:id="117" w:name="amnesia"/>
      <w:bookmarkEnd w:id="117"/>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 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learning in significant ways beyond the age of 3, there is presumably just enough stability for those earliest memories to persist. And those early memories that you can still recall have likely been recalled, reinforced, and elaborated many times in the ensuing years.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your ability to later recall them.</w:t>
      </w:r>
    </w:p>
    <w:p>
      <w:pPr>
        <w:pStyle w:val="Heading2"/>
      </w:pPr>
      <w:bookmarkStart w:id="118" w:name="memory-capacity-and-the-importance-of-chunks"/>
      <w:bookmarkEnd w:id="118"/>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6-2),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the magic number is actually</w:t>
      </w:r>
      <w:r>
        <w:t xml:space="preserve"> </w:t>
      </w:r>
      <w:r>
        <w:rPr>
          <w:i/>
        </w:rPr>
        <w:t xml:space="preserve">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with 1 being much more comfortable (i.e., a total capacity of 2 across the 2 hemispheres)</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 Our extensive experience with verbal material presumably produces this larger capacity beyond what is generally available with the "default" neural mechanisms.</w:t>
      </w:r>
    </w:p>
    <w:p>
      <w:pPr>
        <w:pStyle w:val="Heading2"/>
      </w:pPr>
      <w:bookmarkStart w:id="119" w:name="encoding-and-retrieval-strategies-i.e.-how-to-study"/>
      <w:bookmarkEnd w:id="119"/>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advid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and many studies have found that encouraging people to think about the meaning of a word, as compared to noticing the case or font of the letters, results in better memory.</w:t>
      </w:r>
    </w:p>
    <w:p>
      <w:pPr>
        <w:pStyle w:val="BodyText"/>
      </w:pPr>
      <w:r>
        <w:t xml:space="preserve">One of the most fascinating encoding principle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w:t>
      </w:r>
    </w:p>
    <w:p>
      <w:pPr>
        <w:pStyle w:val="BodyText"/>
      </w:pPr>
      <w:r>
        <w:t xml:space="preserve">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 This is a tip you can use! Don't forget it!</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w:t>
      </w:r>
      <w:r>
        <w:rPr>
          <w:b/>
        </w:rPr>
        <w:t xml:space="preserve">???</w:t>
      </w:r>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knowlege more indpendent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Furthermore, you should do this in a spaced fashion, across multiple different days, ideally in different physical and mental contexts.</w:t>
      </w:r>
    </w:p>
    <w:p>
      <w:pPr>
        <w:pStyle w:val="BodyText"/>
      </w:pPr>
      <w:r>
        <w:t xml:space="preserve">&lt;--- desirable difficulties? testing effect? ---&gt;</w:t>
      </w:r>
    </w:p>
    <w:p>
      <w:pPr>
        <w:pStyle w:val="Heading2"/>
      </w:pPr>
      <w:bookmarkStart w:id="120" w:name="memory-retention-and-interference"/>
      <w:bookmarkEnd w:id="120"/>
      <w:r>
        <w:t xml:space="preserve">Memory Retention and Interference</w:t>
      </w:r>
    </w:p>
    <w:p>
      <w:pPr>
        <w:numPr>
          <w:numId w:val="1032"/>
          <w:ilvl w:val="0"/>
        </w:numPr>
      </w:pPr>
      <w:r>
        <w:t xml:space="preserve">proactive / reactive interference</w:t>
      </w:r>
    </w:p>
    <w:p>
      <w:pPr>
        <w:numPr>
          <w:numId w:val="1032"/>
          <w:ilvl w:val="0"/>
        </w:numPr>
      </w:pPr>
      <w:r>
        <w:t xml:space="preserve">recall / recognition?</w:t>
      </w:r>
    </w:p>
    <w:p>
      <w:pPr>
        <w:pStyle w:val="Heading2"/>
      </w:pPr>
      <w:bookmarkStart w:id="121" w:name="the-fallibility-of-memory"/>
      <w:bookmarkEnd w:id="121"/>
      <w:r>
        <w:t xml:space="preserve">The Fallibility of Memory</w:t>
      </w:r>
    </w:p>
    <w:p>
      <w:pPr>
        <w:numPr>
          <w:numId w:val="1033"/>
          <w:ilvl w:val="0"/>
        </w:numPr>
      </w:pPr>
      <w:r>
        <w:t xml:space="preserve">reconstruction vs veridical encoding</w:t>
      </w:r>
    </w:p>
    <w:p>
      <w:pPr>
        <w:numPr>
          <w:numId w:val="1033"/>
          <w:ilvl w:val="0"/>
        </w:numPr>
      </w:pPr>
      <w:r>
        <w:t xml:space="preserve">compressed high level inputs to hippocampus</w:t>
      </w:r>
    </w:p>
    <w:p>
      <w:pPr>
        <w:pStyle w:val="Heading2"/>
      </w:pPr>
      <w:bookmarkStart w:id="122" w:name="working-memory-and-the-prefrontal-cortex"/>
      <w:bookmarkEnd w:id="122"/>
      <w:r>
        <w:t xml:space="preserve">Working Memory and the Prefrontal Cortex</w:t>
      </w:r>
    </w:p>
    <w:p>
      <w:pPr>
        <w:pStyle w:val="Compact"/>
        <w:numPr>
          <w:numId w:val="1034"/>
          <w:ilvl w:val="0"/>
        </w:numPr>
      </w:pPr>
      <w:r>
        <w:t xml:space="preserve">distinction between STM and WM, important role of PFC / Bg.</w:t>
      </w:r>
    </w:p>
    <w:p>
      <w:pPr>
        <w:pStyle w:val="Heading2"/>
      </w:pPr>
      <w:bookmarkStart w:id="123" w:name="summary-of-key-terms-2"/>
      <w:bookmarkEnd w:id="123"/>
      <w:r>
        <w:t xml:space="preserve">Summary of Key Terms</w:t>
      </w:r>
    </w:p>
    <w:p>
      <w:pPr>
        <w:pStyle w:val="FirstParagraph"/>
      </w:pPr>
      <w:r>
        <w:t xml:space="preserve">This is a checklist of key terms / concepts that you should know about from this chapter.</w:t>
      </w:r>
    </w:p>
    <w:p>
      <w:pPr>
        <w:pStyle w:val="NewPage"/>
      </w:pPr>
      <w:r>
        <w:t xml:space="preserve"/>
      </w:r>
    </w:p>
    <w:p>
      <w:pPr>
        <w:pStyle w:val="Heading1"/>
      </w:pPr>
      <w:bookmarkStart w:id="124" w:name="acknowledgments"/>
      <w:bookmarkEnd w:id="124"/>
      <w:r>
        <w:t xml:space="preserve">Acknowledgments</w:t>
      </w:r>
    </w:p>
    <w:p>
      <w:pPr>
        <w:pStyle w:val="FirstParagraph"/>
      </w:pPr>
      <w:r>
        <w:t xml:space="preserve">Thanks to the current beta-testers for reading!</w:t>
      </w:r>
    </w:p>
    <w:p>
      <w:pPr>
        <w:pStyle w:val="NewPage"/>
      </w:pPr>
      <w:r>
        <w:t xml:space="preserve"/>
      </w:r>
    </w:p>
    <w:p>
      <w:pPr>
        <w:pStyle w:val="Heading1"/>
      </w:pPr>
      <w:bookmarkStart w:id="125" w:name="glossary"/>
      <w:bookmarkEnd w:id="125"/>
      <w:r>
        <w:t xml:space="preserve">Glossary</w:t>
      </w:r>
    </w:p>
    <w:p>
      <w:pPr>
        <w:pStyle w:val="NewPage"/>
      </w:pPr>
      <w:r>
        <w:t xml:space="preserve"/>
      </w:r>
    </w:p>
    <w:p>
      <w:pPr>
        <w:pStyle w:val="Heading1"/>
      </w:pPr>
      <w:bookmarkStart w:id="126" w:name="about-the-authors"/>
      <w:bookmarkEnd w:id="126"/>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27" w:name="references"/>
      <w:bookmarkEnd w:id="127"/>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28">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29">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30">
        <w:r>
          <w:rPr>
            <w:rStyle w:val="Hyperlink"/>
          </w:rPr>
          <w:t xml:space="preserve">10.1146/annurev.psych.47.1.273</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31">
        <w:r>
          <w:rPr>
            <w:rStyle w:val="Hyperlink"/>
          </w:rPr>
          <w:t xml:space="preserve">10.1016/j.dr.2003.09.007</w:t>
        </w:r>
      </w:hyperlink>
      <w:r>
        <w:t xml:space="preserve">.</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32">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33">
        <w:r>
          <w:rPr>
            <w:rStyle w:val="Hyperlink"/>
          </w:rPr>
          <w:t xml:space="preserve">10.1521/pedi.2013.27.3.270</w:t>
        </w:r>
      </w:hyperlink>
      <w:r>
        <w:t xml:space="preserve">.</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34">
        <w:r>
          <w:rPr>
            <w:rStyle w:val="Hyperlink"/>
          </w:rPr>
          <w:t xml:space="preserve">10.1038/nrn.2016.150</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35">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36">
        <w:r>
          <w:rPr>
            <w:rStyle w:val="Hyperlink"/>
          </w:rPr>
          <w:t xml:space="preserve">10.1098/rstb.2001.0945</w:t>
        </w:r>
      </w:hyperlink>
      <w:r>
        <w:t xml:space="preserve">.</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37">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38">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39">
        <w:r>
          <w:rPr>
            <w:rStyle w:val="Hyperlink"/>
          </w:rPr>
          <w:t xml:space="preserve">10.1038/nature24270</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40">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793b015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8d5681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8a508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13" Target="media/rId113.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4" Target="media/rId114.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1" Target="media/rId111.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9" Target="https://doi.org/10.1007/BF03392017" TargetMode="External" /><Relationship Type="http://schemas.openxmlformats.org/officeDocument/2006/relationships/hyperlink" Id="rId128" Target="https://doi.org/10.1016/0306-4522(89)90423-5" TargetMode="External" /><Relationship Type="http://schemas.openxmlformats.org/officeDocument/2006/relationships/hyperlink" Id="rId138" Target="https://doi.org/10.1016/j.conb.2015.05.001" TargetMode="External" /><Relationship Type="http://schemas.openxmlformats.org/officeDocument/2006/relationships/hyperlink" Id="rId131" Target="https://doi.org/10.1016/j.dr.2003.09.007" TargetMode="External" /><Relationship Type="http://schemas.openxmlformats.org/officeDocument/2006/relationships/hyperlink" Id="rId140" Target="https://doi.org/10.1037/h0093759" TargetMode="External" /><Relationship Type="http://schemas.openxmlformats.org/officeDocument/2006/relationships/hyperlink" Id="rId137" Target="https://doi.org/10.1038/nature03687" TargetMode="External" /><Relationship Type="http://schemas.openxmlformats.org/officeDocument/2006/relationships/hyperlink" Id="rId139" Target="https://doi.org/10.1038/nature24270" TargetMode="External" /><Relationship Type="http://schemas.openxmlformats.org/officeDocument/2006/relationships/hyperlink" Id="rId134" Target="https://doi.org/10.1038/nrn.2016.150" TargetMode="External" /><Relationship Type="http://schemas.openxmlformats.org/officeDocument/2006/relationships/hyperlink" Id="rId135" Target="https://doi.org/10.1098/rstb.1971.0078" TargetMode="External" /><Relationship Type="http://schemas.openxmlformats.org/officeDocument/2006/relationships/hyperlink" Id="rId136" Target="https://doi.org/10.1098/rstb.2001.0945" TargetMode="External" /><Relationship Type="http://schemas.openxmlformats.org/officeDocument/2006/relationships/hyperlink" Id="rId132" Target="https://doi.org/10.1113/jphysiol.1952.sp004764" TargetMode="External" /><Relationship Type="http://schemas.openxmlformats.org/officeDocument/2006/relationships/hyperlink" Id="rId130" Target="https://doi.org/10.1146/annurev.psych.47.1.273" TargetMode="External" /><Relationship Type="http://schemas.openxmlformats.org/officeDocument/2006/relationships/hyperlink" Id="rId133"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9" Target="https://doi.org/10.1007/BF03392017" TargetMode="External" /><Relationship Type="http://schemas.openxmlformats.org/officeDocument/2006/relationships/hyperlink" Id="rId128" Target="https://doi.org/10.1016/0306-4522(89)90423-5" TargetMode="External" /><Relationship Type="http://schemas.openxmlformats.org/officeDocument/2006/relationships/hyperlink" Id="rId138" Target="https://doi.org/10.1016/j.conb.2015.05.001" TargetMode="External" /><Relationship Type="http://schemas.openxmlformats.org/officeDocument/2006/relationships/hyperlink" Id="rId131" Target="https://doi.org/10.1016/j.dr.2003.09.007" TargetMode="External" /><Relationship Type="http://schemas.openxmlformats.org/officeDocument/2006/relationships/hyperlink" Id="rId140" Target="https://doi.org/10.1037/h0093759" TargetMode="External" /><Relationship Type="http://schemas.openxmlformats.org/officeDocument/2006/relationships/hyperlink" Id="rId137" Target="https://doi.org/10.1038/nature03687" TargetMode="External" /><Relationship Type="http://schemas.openxmlformats.org/officeDocument/2006/relationships/hyperlink" Id="rId139" Target="https://doi.org/10.1038/nature24270" TargetMode="External" /><Relationship Type="http://schemas.openxmlformats.org/officeDocument/2006/relationships/hyperlink" Id="rId134" Target="https://doi.org/10.1038/nrn.2016.150" TargetMode="External" /><Relationship Type="http://schemas.openxmlformats.org/officeDocument/2006/relationships/hyperlink" Id="rId135" Target="https://doi.org/10.1098/rstb.1971.0078" TargetMode="External" /><Relationship Type="http://schemas.openxmlformats.org/officeDocument/2006/relationships/hyperlink" Id="rId136" Target="https://doi.org/10.1098/rstb.2001.0945" TargetMode="External" /><Relationship Type="http://schemas.openxmlformats.org/officeDocument/2006/relationships/hyperlink" Id="rId132" Target="https://doi.org/10.1113/jphysiol.1952.sp004764" TargetMode="External" /><Relationship Type="http://schemas.openxmlformats.org/officeDocument/2006/relationships/hyperlink" Id="rId130" Target="https://doi.org/10.1146/annurev.psych.47.1.273" TargetMode="External" /><Relationship Type="http://schemas.openxmlformats.org/officeDocument/2006/relationships/hyperlink" Id="rId133"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2018-10-15T08:26:51Z</dcterms:created>
  <dcterms:modified xsi:type="dcterms:W3CDTF">2018-10-15T08:26:51Z</dcterms:modified>
</cp:coreProperties>
</file>